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A25909" w14:textId="77777777" w:rsidR="009D685C" w:rsidRPr="00670DF8" w:rsidRDefault="00670DF8">
      <w:pPr>
        <w:jc w:val="center"/>
        <w:rPr>
          <w:b/>
          <w:bCs/>
          <w:color w:val="7030A0"/>
          <w:sz w:val="48"/>
          <w:szCs w:val="48"/>
        </w:rPr>
      </w:pPr>
      <w:r w:rsidRPr="00670DF8">
        <w:rPr>
          <w:b/>
          <w:bCs/>
          <w:color w:val="7030A0"/>
          <w:sz w:val="48"/>
          <w:szCs w:val="48"/>
        </w:rPr>
        <w:t>PSICOLOGÍA</w:t>
      </w:r>
    </w:p>
    <w:tbl>
      <w:tblPr>
        <w:tblStyle w:val="Tablaconcuadrcula"/>
        <w:tblW w:w="10200" w:type="dxa"/>
        <w:tblInd w:w="-76" w:type="dxa"/>
        <w:tblLook w:val="04A0" w:firstRow="1" w:lastRow="0" w:firstColumn="1" w:lastColumn="0" w:noHBand="0" w:noVBand="1"/>
      </w:tblPr>
      <w:tblGrid>
        <w:gridCol w:w="2860"/>
        <w:gridCol w:w="4390"/>
        <w:gridCol w:w="2950"/>
      </w:tblGrid>
      <w:tr w:rsidR="009D685C" w14:paraId="580423AB" w14:textId="77777777" w:rsidTr="00670DF8">
        <w:trPr>
          <w:trHeight w:val="363"/>
        </w:trPr>
        <w:tc>
          <w:tcPr>
            <w:tcW w:w="2860" w:type="dxa"/>
            <w:tcBorders>
              <w:top w:val="single" w:sz="18" w:space="0" w:color="000000"/>
              <w:left w:val="single" w:sz="18" w:space="0" w:color="000000"/>
              <w:bottom w:val="single" w:sz="18" w:space="0" w:color="000000"/>
              <w:right w:val="single" w:sz="18" w:space="0" w:color="000000"/>
            </w:tcBorders>
            <w:shd w:val="clear" w:color="auto" w:fill="7030A0"/>
            <w:vAlign w:val="center"/>
          </w:tcPr>
          <w:p w14:paraId="403E7048" w14:textId="3DE59051" w:rsidR="009D685C" w:rsidRPr="00616BEA" w:rsidRDefault="00670DF8">
            <w:pPr>
              <w:spacing w:after="0" w:line="240" w:lineRule="auto"/>
              <w:jc w:val="center"/>
              <w:rPr>
                <w:b/>
                <w:bCs/>
                <w:color w:val="FFFFFF" w:themeColor="background1"/>
                <w:sz w:val="24"/>
                <w:szCs w:val="24"/>
              </w:rPr>
            </w:pPr>
            <w:r w:rsidRPr="00616BEA">
              <w:rPr>
                <w:b/>
                <w:bCs/>
                <w:color w:val="FFFFFF" w:themeColor="background1"/>
                <w:sz w:val="24"/>
                <w:szCs w:val="24"/>
              </w:rPr>
              <w:t>NIVEL: Iº Bachillerato</w:t>
            </w:r>
          </w:p>
        </w:tc>
        <w:tc>
          <w:tcPr>
            <w:tcW w:w="4390" w:type="dxa"/>
            <w:tcBorders>
              <w:top w:val="single" w:sz="18" w:space="0" w:color="000000"/>
              <w:left w:val="single" w:sz="18" w:space="0" w:color="000000"/>
              <w:bottom w:val="single" w:sz="18" w:space="0" w:color="000000"/>
              <w:right w:val="single" w:sz="18" w:space="0" w:color="000000"/>
            </w:tcBorders>
            <w:shd w:val="clear" w:color="auto" w:fill="7030A0"/>
            <w:vAlign w:val="center"/>
          </w:tcPr>
          <w:p w14:paraId="366654F8" w14:textId="5A59866F" w:rsidR="009D685C" w:rsidRPr="00616BEA" w:rsidRDefault="00670DF8">
            <w:pPr>
              <w:spacing w:after="0" w:line="240" w:lineRule="auto"/>
              <w:jc w:val="center"/>
              <w:rPr>
                <w:b/>
                <w:bCs/>
                <w:color w:val="FFFFFF" w:themeColor="background1"/>
                <w:sz w:val="24"/>
                <w:szCs w:val="24"/>
              </w:rPr>
            </w:pPr>
            <w:r w:rsidRPr="00616BEA">
              <w:rPr>
                <w:b/>
                <w:bCs/>
                <w:color w:val="FFFFFF" w:themeColor="background1"/>
                <w:sz w:val="24"/>
                <w:szCs w:val="24"/>
              </w:rPr>
              <w:t>DPTO.: Filosofía</w:t>
            </w:r>
          </w:p>
        </w:tc>
        <w:tc>
          <w:tcPr>
            <w:tcW w:w="2950" w:type="dxa"/>
            <w:tcBorders>
              <w:top w:val="single" w:sz="18" w:space="0" w:color="000000"/>
              <w:left w:val="single" w:sz="18" w:space="0" w:color="000000"/>
              <w:bottom w:val="single" w:sz="18" w:space="0" w:color="000000"/>
              <w:right w:val="single" w:sz="18" w:space="0" w:color="000000"/>
            </w:tcBorders>
            <w:shd w:val="clear" w:color="auto" w:fill="7030A0"/>
            <w:vAlign w:val="center"/>
          </w:tcPr>
          <w:p w14:paraId="0ED68DA1" w14:textId="23C36853" w:rsidR="009D685C" w:rsidRPr="003F13B6" w:rsidRDefault="003F13B6" w:rsidP="003F13B6">
            <w:pPr>
              <w:spacing w:after="0" w:line="240" w:lineRule="auto"/>
              <w:jc w:val="center"/>
              <w:rPr>
                <w:b/>
                <w:bCs/>
                <w:sz w:val="24"/>
                <w:szCs w:val="24"/>
              </w:rPr>
            </w:pPr>
            <w:r>
              <w:rPr>
                <w:b/>
                <w:bCs/>
                <w:sz w:val="24"/>
                <w:szCs w:val="24"/>
              </w:rPr>
              <w:t>IES MONTES DE TOLEDO</w:t>
            </w:r>
          </w:p>
        </w:tc>
      </w:tr>
      <w:tr w:rsidR="009D685C" w14:paraId="634A61DC" w14:textId="77777777" w:rsidTr="00670DF8">
        <w:tc>
          <w:tcPr>
            <w:tcW w:w="10200" w:type="dxa"/>
            <w:gridSpan w:val="3"/>
            <w:tcBorders>
              <w:top w:val="single" w:sz="18" w:space="0" w:color="000000"/>
              <w:left w:val="single" w:sz="18" w:space="0" w:color="000000"/>
              <w:bottom w:val="single" w:sz="18" w:space="0" w:color="000000"/>
              <w:right w:val="single" w:sz="18" w:space="0" w:color="000000"/>
            </w:tcBorders>
          </w:tcPr>
          <w:p w14:paraId="31D92A38" w14:textId="77777777" w:rsidR="009D685C" w:rsidRPr="00670DF8" w:rsidRDefault="00670DF8">
            <w:pPr>
              <w:spacing w:before="120" w:after="120" w:line="240" w:lineRule="auto"/>
              <w:jc w:val="center"/>
              <w:rPr>
                <w:b/>
                <w:bCs/>
                <w:color w:val="7030A0"/>
                <w:sz w:val="24"/>
                <w:szCs w:val="24"/>
              </w:rPr>
            </w:pPr>
            <w:r w:rsidRPr="00670DF8">
              <w:rPr>
                <w:b/>
                <w:bCs/>
                <w:color w:val="7030A0"/>
                <w:sz w:val="24"/>
                <w:szCs w:val="24"/>
              </w:rPr>
              <w:t>Justificación de la materia.</w:t>
            </w:r>
          </w:p>
          <w:p w14:paraId="73356AAD" w14:textId="549D81B6" w:rsidR="009D685C" w:rsidRPr="00670DF8" w:rsidRDefault="005E20D0" w:rsidP="00616BEA">
            <w:pPr>
              <w:spacing w:before="6" w:after="6" w:line="240" w:lineRule="auto"/>
              <w:ind w:firstLine="720"/>
              <w:jc w:val="both"/>
              <w:rPr>
                <w:b/>
                <w:bCs/>
                <w:sz w:val="24"/>
                <w:szCs w:val="24"/>
              </w:rPr>
            </w:pPr>
            <w:r>
              <w:rPr>
                <w:b/>
                <w:bCs/>
                <w:color w:val="000000"/>
                <w:sz w:val="24"/>
                <w:szCs w:val="24"/>
              </w:rPr>
              <w:t xml:space="preserve">Describir, explicar, predecir y modificar nuestra conducta comprendiendo las leyes que fundamentan nuestros procesos cognitivos y nuestros procesos emocionales </w:t>
            </w:r>
            <w:r>
              <w:rPr>
                <w:color w:val="000000"/>
                <w:sz w:val="24"/>
                <w:szCs w:val="24"/>
              </w:rPr>
              <w:t xml:space="preserve">son los objetivos de esta disciplina que facilitará al estudiante las herramientas necesarias para una cabal comprensión del propio psiquismo y del psiquismo de las personas con las que convive. Precisamente en una etapa en la que la maduración psicológica está consolidando sus estructuras fundamentales </w:t>
            </w:r>
            <w:r>
              <w:rPr>
                <w:b/>
                <w:bCs/>
                <w:color w:val="000000"/>
                <w:sz w:val="24"/>
                <w:szCs w:val="24"/>
              </w:rPr>
              <w:t>la Psicología ha de servir al alumno para descubrir los entresijos de su personalidad en orden a desenvolverse eficazmente en el ámbito personal, académico y profesional.</w:t>
            </w:r>
          </w:p>
        </w:tc>
      </w:tr>
      <w:tr w:rsidR="009D685C" w14:paraId="3AE9D50F" w14:textId="77777777" w:rsidTr="00670DF8">
        <w:tc>
          <w:tcPr>
            <w:tcW w:w="10200" w:type="dxa"/>
            <w:gridSpan w:val="3"/>
            <w:tcBorders>
              <w:top w:val="single" w:sz="18" w:space="0" w:color="000000"/>
              <w:left w:val="single" w:sz="18" w:space="0" w:color="000000"/>
              <w:bottom w:val="single" w:sz="18" w:space="0" w:color="000000"/>
              <w:right w:val="single" w:sz="18" w:space="0" w:color="000000"/>
            </w:tcBorders>
          </w:tcPr>
          <w:p w14:paraId="37992E3B" w14:textId="77777777" w:rsidR="009D685C" w:rsidRPr="00670DF8" w:rsidRDefault="00670DF8">
            <w:pPr>
              <w:spacing w:before="120" w:after="120" w:line="240" w:lineRule="auto"/>
              <w:jc w:val="center"/>
              <w:rPr>
                <w:b/>
                <w:bCs/>
                <w:color w:val="7030A0"/>
                <w:sz w:val="24"/>
                <w:szCs w:val="24"/>
              </w:rPr>
            </w:pPr>
            <w:r w:rsidRPr="00670DF8">
              <w:rPr>
                <w:b/>
                <w:bCs/>
                <w:color w:val="7030A0"/>
                <w:sz w:val="24"/>
                <w:szCs w:val="24"/>
              </w:rPr>
              <w:t>Contenidos.</w:t>
            </w:r>
          </w:p>
          <w:p w14:paraId="0A8F6A33" w14:textId="3D6510B7" w:rsidR="009D685C" w:rsidRPr="00670DF8" w:rsidRDefault="005E20D0" w:rsidP="00616BEA">
            <w:pPr>
              <w:spacing w:after="0" w:line="240" w:lineRule="auto"/>
              <w:ind w:firstLine="720"/>
              <w:jc w:val="both"/>
              <w:rPr>
                <w:b/>
                <w:bCs/>
                <w:sz w:val="24"/>
                <w:szCs w:val="24"/>
              </w:rPr>
            </w:pPr>
            <w:r>
              <w:rPr>
                <w:sz w:val="24"/>
                <w:szCs w:val="24"/>
              </w:rPr>
              <w:t>La Psicología y su historia. Fundamentos biológicos de la conducta. Los procesos cognitivos básicos: percepción, atención y memoria. Procesos cognitivos superiores: aprendizaje, inteligencia y pensamiento. La construcción del ser humano: Motivación, personalidad y afectividad. Psicología social y de las organizaciones.</w:t>
            </w:r>
          </w:p>
        </w:tc>
      </w:tr>
      <w:tr w:rsidR="009D685C" w14:paraId="731E2A4F" w14:textId="77777777" w:rsidTr="00670DF8">
        <w:tc>
          <w:tcPr>
            <w:tcW w:w="10200" w:type="dxa"/>
            <w:gridSpan w:val="3"/>
            <w:tcBorders>
              <w:top w:val="single" w:sz="18" w:space="0" w:color="000000"/>
              <w:left w:val="single" w:sz="18" w:space="0" w:color="000000"/>
              <w:bottom w:val="single" w:sz="18" w:space="0" w:color="000000"/>
              <w:right w:val="single" w:sz="18" w:space="0" w:color="000000"/>
            </w:tcBorders>
          </w:tcPr>
          <w:p w14:paraId="379F7292" w14:textId="77777777" w:rsidR="009D685C" w:rsidRPr="00670DF8" w:rsidRDefault="00670DF8">
            <w:pPr>
              <w:spacing w:before="120" w:after="120" w:line="240" w:lineRule="auto"/>
              <w:jc w:val="center"/>
              <w:rPr>
                <w:b/>
                <w:bCs/>
                <w:color w:val="7030A0"/>
                <w:sz w:val="24"/>
                <w:szCs w:val="24"/>
              </w:rPr>
            </w:pPr>
            <w:r w:rsidRPr="00670DF8">
              <w:rPr>
                <w:b/>
                <w:bCs/>
                <w:color w:val="7030A0"/>
                <w:sz w:val="24"/>
                <w:szCs w:val="24"/>
              </w:rPr>
              <w:t>Metodología.</w:t>
            </w:r>
          </w:p>
          <w:p w14:paraId="5505CED7" w14:textId="77777777" w:rsidR="005E20D0" w:rsidRPr="005E20D0" w:rsidRDefault="005E20D0" w:rsidP="00616BEA">
            <w:pPr>
              <w:spacing w:after="0" w:line="240" w:lineRule="auto"/>
              <w:ind w:firstLine="720"/>
              <w:jc w:val="both"/>
              <w:rPr>
                <w:rFonts w:eastAsia="Times New Roman" w:cs="Calibri"/>
                <w:b/>
                <w:bCs/>
                <w:sz w:val="24"/>
                <w:szCs w:val="24"/>
                <w14:ligatures w14:val="none"/>
              </w:rPr>
            </w:pPr>
            <w:r w:rsidRPr="005E20D0">
              <w:rPr>
                <w:rFonts w:eastAsia="Times New Roman" w:cs="Calibri"/>
                <w:sz w:val="24"/>
                <w:szCs w:val="24"/>
                <w14:ligatures w14:val="none"/>
              </w:rPr>
              <w:t xml:space="preserve">Al tratarse de una asignatura que reúne varias disciplinas como la Biología, las Matemáticas, la Sociología o la Filosofía, </w:t>
            </w:r>
            <w:r w:rsidRPr="005E20D0">
              <w:rPr>
                <w:rFonts w:eastAsia="Times New Roman" w:cs="Calibri"/>
                <w:b/>
                <w:bCs/>
                <w:sz w:val="24"/>
                <w:szCs w:val="24"/>
                <w14:ligatures w14:val="none"/>
              </w:rPr>
              <w:t>su enfoque metodológico debe ser de carácter globalizador</w:t>
            </w:r>
            <w:r w:rsidRPr="005E20D0">
              <w:rPr>
                <w:rFonts w:eastAsia="Times New Roman" w:cs="Calibri"/>
                <w:sz w:val="24"/>
                <w:szCs w:val="24"/>
                <w14:ligatures w14:val="none"/>
              </w:rPr>
              <w:t>.</w:t>
            </w:r>
          </w:p>
          <w:p w14:paraId="1035983E" w14:textId="5ADCF069" w:rsidR="009D685C" w:rsidRPr="00670DF8" w:rsidRDefault="005E20D0" w:rsidP="00616BEA">
            <w:pPr>
              <w:spacing w:after="0" w:line="240" w:lineRule="auto"/>
              <w:ind w:firstLine="720"/>
              <w:jc w:val="both"/>
              <w:rPr>
                <w:b/>
                <w:bCs/>
                <w:sz w:val="24"/>
                <w:szCs w:val="24"/>
              </w:rPr>
            </w:pPr>
            <w:r w:rsidRPr="005E20D0">
              <w:rPr>
                <w:rFonts w:eastAsia="Times New Roman" w:cs="Calibri"/>
                <w:sz w:val="24"/>
                <w:szCs w:val="24"/>
                <w14:ligatures w14:val="none"/>
              </w:rPr>
              <w:t xml:space="preserve">Se proporcionará al alumnado un contacto con la diversidad de enfoques, escuelas y tratamientos propios de la ciencia, y se presentará la valiosa aportación de otras ciencias sociales a la disciplina. También se promoverá en el alumnado la reflexión sobre las semejanzas y diferencias entre su conocimiento, intuitivo o personal, de los fenómenos psicológicos y las aportaciones de las investigaciones científicas sobre esos mismos fenómenos. </w:t>
            </w:r>
            <w:r w:rsidR="00670DF8" w:rsidRPr="00670DF8">
              <w:rPr>
                <w:sz w:val="24"/>
                <w:szCs w:val="24"/>
              </w:rPr>
              <w:t xml:space="preserve"> </w:t>
            </w:r>
          </w:p>
        </w:tc>
      </w:tr>
      <w:tr w:rsidR="009D685C" w14:paraId="5641FAEA" w14:textId="77777777" w:rsidTr="00670DF8">
        <w:tc>
          <w:tcPr>
            <w:tcW w:w="10200" w:type="dxa"/>
            <w:gridSpan w:val="3"/>
            <w:tcBorders>
              <w:top w:val="single" w:sz="18" w:space="0" w:color="000000"/>
              <w:left w:val="single" w:sz="18" w:space="0" w:color="000000"/>
              <w:bottom w:val="single" w:sz="18" w:space="0" w:color="000000"/>
              <w:right w:val="single" w:sz="18" w:space="0" w:color="000000"/>
            </w:tcBorders>
          </w:tcPr>
          <w:p w14:paraId="674A03D8" w14:textId="77777777" w:rsidR="009D685C" w:rsidRPr="00670DF8" w:rsidRDefault="00670DF8">
            <w:pPr>
              <w:spacing w:before="120" w:after="120" w:line="240" w:lineRule="auto"/>
              <w:jc w:val="center"/>
              <w:rPr>
                <w:b/>
                <w:bCs/>
                <w:color w:val="7030A0"/>
                <w:sz w:val="24"/>
                <w:szCs w:val="24"/>
              </w:rPr>
            </w:pPr>
            <w:r w:rsidRPr="00670DF8">
              <w:rPr>
                <w:b/>
                <w:bCs/>
                <w:color w:val="7030A0"/>
                <w:sz w:val="24"/>
                <w:szCs w:val="24"/>
              </w:rPr>
              <w:t>Evaluación.</w:t>
            </w:r>
          </w:p>
          <w:p w14:paraId="34BD2055" w14:textId="77777777" w:rsidR="005E20D0" w:rsidRPr="005E20D0" w:rsidRDefault="005E20D0" w:rsidP="00616BEA">
            <w:pPr>
              <w:spacing w:after="0" w:line="240" w:lineRule="auto"/>
              <w:ind w:firstLine="720"/>
              <w:jc w:val="both"/>
              <w:rPr>
                <w:rFonts w:eastAsia="Times New Roman" w:cs="Calibri"/>
                <w:b/>
                <w:bCs/>
                <w:sz w:val="24"/>
                <w:szCs w:val="24"/>
                <w14:ligatures w14:val="none"/>
              </w:rPr>
            </w:pPr>
            <w:r w:rsidRPr="005E20D0">
              <w:rPr>
                <w:rFonts w:eastAsia="Times New Roman" w:cs="Calibri"/>
                <w:sz w:val="24"/>
                <w:szCs w:val="24"/>
                <w14:ligatures w14:val="none"/>
              </w:rPr>
              <w:t>El trabajo de la asignatura podrá incluir elaboración de mapas conceptuales, recogida de fichas sobre las estructuras del sistema nervioso, selección de material en internet que facilite la comprensión de los temas, gráficas estadísticas que familiaricen al alumno con la comprensión de los sistemas de medición por percentiles y de otras metodologías utilizadas</w:t>
            </w:r>
            <w:r w:rsidRPr="005E20D0">
              <w:rPr>
                <w:rFonts w:ascii="Times New Roman" w:eastAsia="Times New Roman" w:hAnsi="Times New Roman" w:cs="Calibri"/>
                <w:sz w:val="24"/>
                <w:szCs w:val="24"/>
                <w14:ligatures w14:val="none"/>
              </w:rPr>
              <w:t xml:space="preserve"> </w:t>
            </w:r>
            <w:r w:rsidRPr="005E20D0">
              <w:rPr>
                <w:rFonts w:eastAsia="Times New Roman" w:cs="Calibri"/>
                <w:sz w:val="24"/>
                <w:szCs w:val="24"/>
                <w14:ligatures w14:val="none"/>
              </w:rPr>
              <w:t xml:space="preserve">por la Psicología, uso de imágenes que ilustren las leyes de la percepción y otros fenómenos psíquicos, elaboración de presentaciones sobre alguno de los temas estudiados, etc. </w:t>
            </w:r>
          </w:p>
          <w:p w14:paraId="2F7929B6" w14:textId="28D042C7" w:rsidR="009D685C" w:rsidRPr="00670DF8" w:rsidRDefault="005E20D0" w:rsidP="00616BEA">
            <w:pPr>
              <w:spacing w:after="0" w:line="240" w:lineRule="auto"/>
              <w:ind w:firstLine="720"/>
              <w:jc w:val="both"/>
              <w:rPr>
                <w:b/>
                <w:bCs/>
                <w:sz w:val="24"/>
                <w:szCs w:val="24"/>
              </w:rPr>
            </w:pPr>
            <w:r w:rsidRPr="005E20D0">
              <w:rPr>
                <w:rFonts w:eastAsia="Times New Roman" w:cs="Calibri"/>
                <w:sz w:val="24"/>
                <w:szCs w:val="24"/>
                <w14:ligatures w14:val="none"/>
              </w:rPr>
              <w:t xml:space="preserve">El estudio de la Psicología incluye inevitablemente una </w:t>
            </w:r>
            <w:r w:rsidRPr="005E20D0">
              <w:rPr>
                <w:rFonts w:eastAsia="Times New Roman" w:cs="Calibri"/>
                <w:b/>
                <w:bCs/>
                <w:sz w:val="24"/>
                <w:szCs w:val="24"/>
                <w14:ligatures w14:val="none"/>
              </w:rPr>
              <w:t>dimensión práctica</w:t>
            </w:r>
            <w:r w:rsidRPr="005E20D0">
              <w:rPr>
                <w:rFonts w:eastAsia="Times New Roman" w:cs="Calibri"/>
                <w:sz w:val="24"/>
                <w:szCs w:val="24"/>
                <w14:ligatures w14:val="none"/>
              </w:rPr>
              <w:t>- psicología aplicada- que permite abordar ejemplos o situaciones reales o ficticias que requieran una interpretación psicológica que incluye un análisis y/o diagnóstico y una propuesta de orientación o terapia.</w:t>
            </w:r>
            <w:r w:rsidR="00670DF8" w:rsidRPr="00670DF8">
              <w:rPr>
                <w:sz w:val="24"/>
                <w:szCs w:val="24"/>
              </w:rPr>
              <w:t xml:space="preserve"> </w:t>
            </w:r>
          </w:p>
        </w:tc>
      </w:tr>
      <w:tr w:rsidR="009D685C" w14:paraId="1EBBDF59" w14:textId="77777777" w:rsidTr="00670DF8">
        <w:tc>
          <w:tcPr>
            <w:tcW w:w="10200" w:type="dxa"/>
            <w:gridSpan w:val="3"/>
            <w:tcBorders>
              <w:top w:val="single" w:sz="18" w:space="0" w:color="000000"/>
              <w:left w:val="single" w:sz="18" w:space="0" w:color="000000"/>
              <w:bottom w:val="single" w:sz="18" w:space="0" w:color="000000"/>
              <w:right w:val="single" w:sz="18" w:space="0" w:color="000000"/>
            </w:tcBorders>
          </w:tcPr>
          <w:p w14:paraId="3C43CE02" w14:textId="77777777" w:rsidR="009D685C" w:rsidRPr="00670DF8" w:rsidRDefault="00670DF8">
            <w:pPr>
              <w:spacing w:before="120" w:after="120" w:line="240" w:lineRule="auto"/>
              <w:jc w:val="center"/>
              <w:rPr>
                <w:b/>
                <w:bCs/>
                <w:color w:val="7030A0"/>
                <w:sz w:val="24"/>
                <w:szCs w:val="24"/>
              </w:rPr>
            </w:pPr>
            <w:r w:rsidRPr="00670DF8">
              <w:rPr>
                <w:b/>
                <w:bCs/>
                <w:color w:val="7030A0"/>
                <w:sz w:val="24"/>
                <w:szCs w:val="24"/>
              </w:rPr>
              <w:t>Actividades extraescolares asociadas.</w:t>
            </w:r>
          </w:p>
          <w:p w14:paraId="621D726E" w14:textId="15A73D39" w:rsidR="009D685C" w:rsidRPr="00670DF8" w:rsidRDefault="005E20D0" w:rsidP="00616BEA">
            <w:pPr>
              <w:spacing w:after="0" w:line="240" w:lineRule="auto"/>
              <w:ind w:firstLine="720"/>
              <w:jc w:val="both"/>
              <w:rPr>
                <w:b/>
                <w:bCs/>
                <w:sz w:val="24"/>
                <w:szCs w:val="24"/>
              </w:rPr>
            </w:pPr>
            <w:r w:rsidRPr="005E20D0">
              <w:rPr>
                <w:rFonts w:eastAsia="Times New Roman" w:cs="Calibri"/>
                <w:sz w:val="24"/>
                <w:szCs w:val="24"/>
                <w14:ligatures w14:val="none"/>
              </w:rPr>
              <w:t xml:space="preserve">Participación en la </w:t>
            </w:r>
            <w:r w:rsidRPr="005E20D0">
              <w:rPr>
                <w:rFonts w:eastAsia="Times New Roman" w:cs="Calibri"/>
                <w:b/>
                <w:bCs/>
                <w:sz w:val="24"/>
                <w:szCs w:val="24"/>
                <w14:ligatures w14:val="none"/>
              </w:rPr>
              <w:t>Olimpiada de Filosofía de CLM y</w:t>
            </w:r>
            <w:r w:rsidRPr="005E20D0">
              <w:rPr>
                <w:rFonts w:eastAsia="Times New Roman" w:cs="Calibri"/>
                <w:sz w:val="24"/>
                <w:szCs w:val="24"/>
                <w14:ligatures w14:val="none"/>
              </w:rPr>
              <w:t xml:space="preserve"> </w:t>
            </w:r>
            <w:r w:rsidRPr="005E20D0">
              <w:rPr>
                <w:rFonts w:eastAsia="Times New Roman" w:cs="Calibri"/>
                <w:b/>
                <w:bCs/>
                <w:sz w:val="24"/>
                <w:szCs w:val="24"/>
                <w14:ligatures w14:val="none"/>
              </w:rPr>
              <w:t xml:space="preserve">Olimpiada de Filosofía Nacional, </w:t>
            </w:r>
            <w:r w:rsidRPr="005E20D0">
              <w:rPr>
                <w:rFonts w:eastAsia="Times New Roman" w:cs="Calibri"/>
                <w:sz w:val="24"/>
                <w:szCs w:val="24"/>
                <w14:ligatures w14:val="none"/>
              </w:rPr>
              <w:t xml:space="preserve">según temática. </w:t>
            </w:r>
            <w:r w:rsidRPr="005E20D0">
              <w:rPr>
                <w:rFonts w:eastAsia="Times New Roman" w:cs="Calibri"/>
                <w:b/>
                <w:bCs/>
                <w:sz w:val="24"/>
                <w:szCs w:val="24"/>
                <w14:ligatures w14:val="none"/>
              </w:rPr>
              <w:t>Otras exposiciones temporales, conferencias y obras de teatro.</w:t>
            </w:r>
          </w:p>
        </w:tc>
      </w:tr>
      <w:tr w:rsidR="009D685C" w14:paraId="3C2707F8" w14:textId="77777777" w:rsidTr="00670DF8">
        <w:tc>
          <w:tcPr>
            <w:tcW w:w="10200" w:type="dxa"/>
            <w:gridSpan w:val="3"/>
            <w:tcBorders>
              <w:top w:val="single" w:sz="18" w:space="0" w:color="000000"/>
              <w:left w:val="single" w:sz="18" w:space="0" w:color="000000"/>
              <w:bottom w:val="single" w:sz="18" w:space="0" w:color="000000"/>
              <w:right w:val="single" w:sz="18" w:space="0" w:color="000000"/>
            </w:tcBorders>
          </w:tcPr>
          <w:p w14:paraId="287416B3" w14:textId="77777777" w:rsidR="009D685C" w:rsidRPr="00670DF8" w:rsidRDefault="00670DF8">
            <w:pPr>
              <w:spacing w:before="63" w:after="63" w:line="240" w:lineRule="auto"/>
              <w:jc w:val="center"/>
              <w:rPr>
                <w:b/>
                <w:bCs/>
                <w:color w:val="7030A0"/>
                <w:sz w:val="24"/>
                <w:szCs w:val="24"/>
              </w:rPr>
            </w:pPr>
            <w:r w:rsidRPr="00670DF8">
              <w:rPr>
                <w:b/>
                <w:bCs/>
                <w:color w:val="7030A0"/>
                <w:sz w:val="24"/>
                <w:szCs w:val="24"/>
              </w:rPr>
              <w:t>Estudios universitarios vinculados con la materia.</w:t>
            </w:r>
          </w:p>
          <w:p w14:paraId="0897A1CE" w14:textId="79C271D6" w:rsidR="00314E9E" w:rsidRPr="00670DF8" w:rsidRDefault="005E20D0" w:rsidP="00616BEA">
            <w:pPr>
              <w:spacing w:after="0" w:line="240" w:lineRule="auto"/>
              <w:ind w:firstLine="720"/>
              <w:jc w:val="both"/>
              <w:rPr>
                <w:b/>
                <w:bCs/>
                <w:sz w:val="24"/>
                <w:szCs w:val="24"/>
              </w:rPr>
            </w:pPr>
            <w:r w:rsidRPr="00057DD0">
              <w:rPr>
                <w:b/>
                <w:bCs/>
                <w:sz w:val="24"/>
                <w:szCs w:val="24"/>
              </w:rPr>
              <w:t xml:space="preserve">Ciencias de la salud: </w:t>
            </w:r>
            <w:r w:rsidRPr="00057DD0">
              <w:rPr>
                <w:sz w:val="24"/>
                <w:szCs w:val="24"/>
              </w:rPr>
              <w:t>Ciencias biomédicas, Ciencias de la actividad física y el deporte, Enfermería, Logopedia, Medicina, Psicología, Terapia ocupacional.</w:t>
            </w:r>
            <w:r>
              <w:rPr>
                <w:sz w:val="24"/>
                <w:szCs w:val="24"/>
              </w:rPr>
              <w:t xml:space="preserve"> </w:t>
            </w:r>
            <w:r w:rsidRPr="00057DD0">
              <w:rPr>
                <w:b/>
                <w:bCs/>
                <w:sz w:val="24"/>
                <w:szCs w:val="24"/>
              </w:rPr>
              <w:t>Humanidades y C</w:t>
            </w:r>
            <w:r>
              <w:rPr>
                <w:b/>
                <w:bCs/>
                <w:sz w:val="24"/>
                <w:szCs w:val="24"/>
              </w:rPr>
              <w:t xml:space="preserve">CSS: </w:t>
            </w:r>
            <w:r w:rsidRPr="00057DD0">
              <w:rPr>
                <w:sz w:val="24"/>
                <w:szCs w:val="24"/>
              </w:rPr>
              <w:t>Antropología</w:t>
            </w:r>
            <w:r>
              <w:rPr>
                <w:sz w:val="24"/>
                <w:szCs w:val="24"/>
              </w:rPr>
              <w:t>;</w:t>
            </w:r>
            <w:r>
              <w:rPr>
                <w:b/>
                <w:bCs/>
                <w:sz w:val="24"/>
                <w:szCs w:val="24"/>
              </w:rPr>
              <w:t xml:space="preserve"> </w:t>
            </w:r>
            <w:r w:rsidRPr="00057DD0">
              <w:rPr>
                <w:sz w:val="24"/>
                <w:szCs w:val="24"/>
              </w:rPr>
              <w:t>Artes y diseño; Comercio, Marketing, Publicidad; Comunicación/periodismo; Criminología; Filosofía; Magisterio; Lingüística; Pedagogía; Trabajo/Educación social;</w:t>
            </w:r>
            <w:r>
              <w:rPr>
                <w:b/>
                <w:bCs/>
                <w:sz w:val="24"/>
                <w:szCs w:val="24"/>
              </w:rPr>
              <w:t xml:space="preserve"> </w:t>
            </w:r>
            <w:r w:rsidRPr="00057DD0">
              <w:rPr>
                <w:sz w:val="24"/>
                <w:szCs w:val="24"/>
              </w:rPr>
              <w:t>RRHH; Relaciones laborales</w:t>
            </w:r>
            <w:r>
              <w:rPr>
                <w:sz w:val="24"/>
                <w:szCs w:val="24"/>
              </w:rPr>
              <w:t>; Ciencias del trabajo.</w:t>
            </w:r>
          </w:p>
        </w:tc>
      </w:tr>
    </w:tbl>
    <w:p w14:paraId="40698E69" w14:textId="77777777" w:rsidR="009D685C" w:rsidRDefault="009D685C" w:rsidP="005E20D0">
      <w:pPr>
        <w:rPr>
          <w:b/>
          <w:bCs/>
          <w:sz w:val="24"/>
          <w:szCs w:val="24"/>
        </w:rPr>
      </w:pPr>
    </w:p>
    <w:sectPr w:rsidR="009D685C" w:rsidSect="005E20D0">
      <w:pgSz w:w="11906" w:h="16838"/>
      <w:pgMar w:top="568" w:right="1133" w:bottom="993" w:left="1134" w:header="0" w:footer="0" w:gutter="0"/>
      <w:cols w:space="720"/>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autoHyphenation/>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85C"/>
    <w:rsid w:val="00314E9E"/>
    <w:rsid w:val="003E4860"/>
    <w:rsid w:val="003F13B6"/>
    <w:rsid w:val="005E20D0"/>
    <w:rsid w:val="00616BEA"/>
    <w:rsid w:val="00670DF8"/>
    <w:rsid w:val="009D685C"/>
    <w:rsid w:val="00AA6EB5"/>
    <w:rsid w:val="00AB2B7A"/>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A0544B"/>
  <w15:docId w15:val="{C4A765EC-0790-4609-8C3E-1D3ED89A03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EnlacedeInternet">
    <w:name w:val="Enlace de Internet"/>
    <w:rPr>
      <w:color w:val="000080"/>
      <w:u w:val="single"/>
    </w:rPr>
  </w:style>
  <w:style w:type="character" w:customStyle="1" w:styleId="EnlacedeInternetvisitado">
    <w:name w:val="Enlace de Internet visitado"/>
    <w:rPr>
      <w:color w:val="800000"/>
      <w:u w:val="single"/>
    </w:rPr>
  </w:style>
  <w:style w:type="paragraph" w:styleId="Ttulo">
    <w:name w:val="Title"/>
    <w:basedOn w:val="Normal"/>
    <w:next w:val="Textoindependiente"/>
    <w:qFormat/>
    <w:pPr>
      <w:keepNext/>
      <w:spacing w:before="240" w:after="120"/>
    </w:pPr>
    <w:rPr>
      <w:rFonts w:ascii="Liberation Sans" w:eastAsia="Microsoft YaHei" w:hAnsi="Liberation Sans" w:cs="Lucida Sans"/>
      <w:sz w:val="28"/>
      <w:szCs w:val="28"/>
    </w:rPr>
  </w:style>
  <w:style w:type="paragraph" w:styleId="Textoindependiente">
    <w:name w:val="Body Text"/>
    <w:basedOn w:val="Normal"/>
    <w:pPr>
      <w:spacing w:after="140" w:line="276" w:lineRule="auto"/>
    </w:pPr>
  </w:style>
  <w:style w:type="paragraph" w:styleId="Lista">
    <w:name w:val="List"/>
    <w:basedOn w:val="Textoindependiente"/>
    <w:rPr>
      <w:rFonts w:cs="Lucida Sans"/>
    </w:rPr>
  </w:style>
  <w:style w:type="paragraph" w:styleId="Descripcin">
    <w:name w:val="caption"/>
    <w:basedOn w:val="Normal"/>
    <w:qFormat/>
    <w:pPr>
      <w:suppressLineNumbers/>
      <w:spacing w:before="120" w:after="120"/>
    </w:pPr>
    <w:rPr>
      <w:rFonts w:cs="Lucida Sans"/>
      <w:i/>
      <w:iCs/>
      <w:sz w:val="24"/>
      <w:szCs w:val="24"/>
    </w:rPr>
  </w:style>
  <w:style w:type="paragraph" w:customStyle="1" w:styleId="ndice">
    <w:name w:val="Índice"/>
    <w:basedOn w:val="Normal"/>
    <w:qFormat/>
    <w:pPr>
      <w:suppressLineNumbers/>
    </w:pPr>
    <w:rPr>
      <w:rFonts w:cs="Lucida Sans"/>
    </w:rPr>
  </w:style>
  <w:style w:type="table" w:styleId="Tablaconcuadrcula">
    <w:name w:val="Table Grid"/>
    <w:basedOn w:val="Tablanormal"/>
    <w:uiPriority w:val="39"/>
    <w:rsid w:val="004232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semiHidden/>
    <w:unhideWhenUsed/>
    <w:rsid w:val="00314E9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236717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92A673E42089D84FAE94C9E207C2693A" ma:contentTypeVersion="4" ma:contentTypeDescription="Crear nuevo documento." ma:contentTypeScope="" ma:versionID="3cbdaff9fb5f8392ea23103051d464e2">
  <xsd:schema xmlns:xsd="http://www.w3.org/2001/XMLSchema" xmlns:xs="http://www.w3.org/2001/XMLSchema" xmlns:p="http://schemas.microsoft.com/office/2006/metadata/properties" xmlns:ns2="76e9ddee-a8e6-4861-9d23-416554406609" targetNamespace="http://schemas.microsoft.com/office/2006/metadata/properties" ma:root="true" ma:fieldsID="b2de90932296b200ddc8267296032e4b" ns2:_="">
    <xsd:import namespace="76e9ddee-a8e6-4861-9d23-416554406609"/>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e9ddee-a8e6-4861-9d23-41655440660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8B15D79-82B0-49CD-817C-787B848F733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12E2755-B6FF-4AEB-9556-5D33AB8940D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e9ddee-a8e6-4861-9d23-41655440660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EB61A34-B0B4-45B5-8C60-2BA12D741A2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494</Words>
  <Characters>2718</Characters>
  <Application>Microsoft Office Word</Application>
  <DocSecurity>0</DocSecurity>
  <Lines>22</Lines>
  <Paragraphs>6</Paragraphs>
  <ScaleCrop>false</ScaleCrop>
  <Company/>
  <LinksUpToDate>false</LinksUpToDate>
  <CharactersWithSpaces>3206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PROGRAMACIÓN DIDÁCTICA DEPARTAMENTO DE FILOSOFÍA2022-2023NORMATIVA LOMCE</dc:title>
  <dc:subject>NORMATIVA LOMCE</dc:subject>
  <dc:creator>Profesor</dc:creator>
  <dc:description/>
  <cp:lastModifiedBy>Administrador</cp:lastModifiedBy>
  <cp:revision>3</cp:revision>
  <dcterms:created xsi:type="dcterms:W3CDTF">2025-05-19T06:59:00Z</dcterms:created>
  <dcterms:modified xsi:type="dcterms:W3CDTF">2025-05-22T09:57:00Z</dcterms:modified>
  <dc:language>es-ES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ContentTypeId">
    <vt:lpwstr>0x01010092A673E42089D84FAE94C9E207C2693A</vt:lpwstr>
  </property>
</Properties>
</file>